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F31" w:rsidRDefault="00F8426A">
      <w:pPr>
        <w:spacing w:line="360" w:lineRule="auto"/>
        <w:jc w:val="center"/>
        <w:rPr>
          <w:rFonts w:ascii="宋体" w:hAnsi="宋体"/>
          <w:b/>
          <w:sz w:val="28"/>
          <w:szCs w:val="28"/>
        </w:rPr>
      </w:pPr>
      <w:r>
        <w:rPr>
          <w:rFonts w:ascii="宋体" w:hAnsi="宋体" w:hint="eastAsia"/>
          <w:b/>
          <w:sz w:val="28"/>
          <w:szCs w:val="28"/>
        </w:rPr>
        <w:t>盐城国丰海上风力发电有限公司</w:t>
      </w:r>
    </w:p>
    <w:p w:rsidR="00B63F31" w:rsidRDefault="00F8426A">
      <w:pPr>
        <w:spacing w:line="360" w:lineRule="auto"/>
        <w:jc w:val="center"/>
        <w:rPr>
          <w:rFonts w:ascii="宋体" w:hAnsi="宋体"/>
          <w:b/>
          <w:sz w:val="28"/>
          <w:szCs w:val="28"/>
        </w:rPr>
      </w:pPr>
      <w:r>
        <w:rPr>
          <w:rFonts w:ascii="宋体" w:hAnsi="宋体" w:hint="eastAsia"/>
          <w:b/>
          <w:sz w:val="28"/>
          <w:szCs w:val="28"/>
        </w:rPr>
        <w:t>220KV模拟绝缘子</w:t>
      </w:r>
      <w:r w:rsidR="006631F8">
        <w:rPr>
          <w:rFonts w:ascii="宋体" w:hAnsi="宋体" w:hint="eastAsia"/>
          <w:b/>
          <w:sz w:val="28"/>
          <w:szCs w:val="28"/>
        </w:rPr>
        <w:t>采购与</w:t>
      </w:r>
      <w:r>
        <w:rPr>
          <w:rFonts w:ascii="宋体" w:hAnsi="宋体" w:hint="eastAsia"/>
          <w:b/>
          <w:sz w:val="28"/>
          <w:szCs w:val="28"/>
        </w:rPr>
        <w:t>安装项目技术要求</w:t>
      </w:r>
      <w:bookmarkStart w:id="0" w:name="_Toc401903496"/>
      <w:bookmarkStart w:id="1" w:name="_Toc305943470"/>
      <w:bookmarkStart w:id="2" w:name="_Toc508897635"/>
    </w:p>
    <w:p w:rsidR="00B63F31" w:rsidRDefault="00F8426A">
      <w:pPr>
        <w:spacing w:line="360" w:lineRule="auto"/>
        <w:rPr>
          <w:rFonts w:ascii="宋体" w:hAnsi="宋体"/>
          <w:b/>
          <w:sz w:val="28"/>
          <w:szCs w:val="28"/>
        </w:rPr>
      </w:pPr>
      <w:r>
        <w:rPr>
          <w:rFonts w:ascii="宋体" w:hAnsi="宋体" w:hint="eastAsia"/>
          <w:b/>
          <w:sz w:val="28"/>
          <w:szCs w:val="28"/>
        </w:rPr>
        <w:t>1、总则</w:t>
      </w:r>
      <w:bookmarkEnd w:id="0"/>
      <w:bookmarkEnd w:id="1"/>
      <w:bookmarkEnd w:id="2"/>
    </w:p>
    <w:p w:rsidR="00B63F31" w:rsidRDefault="00F8426A">
      <w:pPr>
        <w:spacing w:line="360" w:lineRule="auto"/>
        <w:rPr>
          <w:rFonts w:hAnsiTheme="minorEastAsia"/>
          <w:color w:val="000000" w:themeColor="text1"/>
          <w:sz w:val="24"/>
        </w:rPr>
      </w:pPr>
      <w:r>
        <w:rPr>
          <w:sz w:val="24"/>
        </w:rPr>
        <w:t>1.1</w:t>
      </w:r>
      <w:r>
        <w:rPr>
          <w:rFonts w:hAnsiTheme="minorEastAsia" w:hint="eastAsia"/>
          <w:sz w:val="24"/>
        </w:rPr>
        <w:t>本技术规范仅适用于盐城</w:t>
      </w:r>
      <w:r>
        <w:rPr>
          <w:rFonts w:hAnsiTheme="minorEastAsia" w:hint="eastAsia"/>
          <w:color w:val="000000" w:themeColor="text1"/>
          <w:sz w:val="24"/>
        </w:rPr>
        <w:t>国丰风力发电有限公司</w:t>
      </w:r>
      <w:r>
        <w:rPr>
          <w:rFonts w:hAnsiTheme="minorEastAsia" w:hint="eastAsia"/>
          <w:color w:val="000000" w:themeColor="text1"/>
          <w:sz w:val="24"/>
        </w:rPr>
        <w:t>220KV</w:t>
      </w:r>
      <w:r>
        <w:rPr>
          <w:rFonts w:hAnsiTheme="minorEastAsia" w:hint="eastAsia"/>
          <w:color w:val="000000" w:themeColor="text1"/>
          <w:sz w:val="24"/>
        </w:rPr>
        <w:t>模拟绝缘子安装项目的基本技术要求。</w:t>
      </w:r>
    </w:p>
    <w:p w:rsidR="00B63F31" w:rsidRDefault="00F8426A">
      <w:pPr>
        <w:spacing w:line="360" w:lineRule="auto"/>
        <w:rPr>
          <w:rFonts w:ascii="宋体" w:hAnsi="宋体"/>
          <w:sz w:val="24"/>
        </w:rPr>
      </w:pPr>
      <w:r>
        <w:rPr>
          <w:rFonts w:hAnsiTheme="minorEastAsia"/>
          <w:sz w:val="24"/>
        </w:rPr>
        <w:t>1.2</w:t>
      </w:r>
      <w:r>
        <w:rPr>
          <w:rFonts w:hAnsiTheme="minorEastAsia" w:hint="eastAsia"/>
          <w:sz w:val="24"/>
        </w:rPr>
        <w:t>根据《</w:t>
      </w:r>
      <w:r>
        <w:rPr>
          <w:rFonts w:ascii="宋体" w:hAnsi="宋体"/>
          <w:sz w:val="24"/>
        </w:rPr>
        <w:t>DL</w:t>
      </w:r>
      <w:r>
        <w:rPr>
          <w:rFonts w:ascii="宋体" w:hAnsi="宋体" w:hint="eastAsia"/>
          <w:sz w:val="24"/>
        </w:rPr>
        <w:t xml:space="preserve">/T </w:t>
      </w:r>
      <w:r>
        <w:rPr>
          <w:rFonts w:ascii="宋体" w:hAnsi="宋体"/>
          <w:sz w:val="24"/>
        </w:rPr>
        <w:t>596</w:t>
      </w:r>
      <w:r>
        <w:rPr>
          <w:rFonts w:ascii="宋体" w:hAnsi="宋体" w:hint="eastAsia"/>
          <w:sz w:val="24"/>
        </w:rPr>
        <w:t>-20</w:t>
      </w:r>
      <w:r>
        <w:rPr>
          <w:rFonts w:ascii="宋体" w:hAnsi="宋体"/>
          <w:sz w:val="24"/>
        </w:rPr>
        <w:t>21</w:t>
      </w:r>
      <w:r>
        <w:rPr>
          <w:rFonts w:ascii="宋体" w:hAnsi="宋体" w:hint="eastAsia"/>
          <w:sz w:val="24"/>
        </w:rPr>
        <w:t>电力设备预防性试验规程</w:t>
      </w:r>
      <w:r>
        <w:rPr>
          <w:rFonts w:hAnsiTheme="minorEastAsia" w:hint="eastAsia"/>
          <w:sz w:val="24"/>
        </w:rPr>
        <w:t>》及省网公司绝缘技术监督的有</w:t>
      </w:r>
      <w:r>
        <w:rPr>
          <w:rFonts w:ascii="宋体" w:hAnsi="宋体"/>
          <w:sz w:val="24"/>
        </w:rPr>
        <w:t>关规定</w:t>
      </w:r>
      <w:r>
        <w:rPr>
          <w:rFonts w:ascii="宋体" w:hAnsi="宋体" w:hint="eastAsia"/>
          <w:sz w:val="24"/>
        </w:rPr>
        <w:t>，</w:t>
      </w:r>
      <w:r>
        <w:rPr>
          <w:rFonts w:hAnsiTheme="minorEastAsia" w:hint="eastAsia"/>
          <w:sz w:val="24"/>
        </w:rPr>
        <w:t>我</w:t>
      </w:r>
      <w:r>
        <w:rPr>
          <w:rFonts w:ascii="宋体" w:hAnsi="宋体" w:hint="eastAsia"/>
          <w:sz w:val="24"/>
        </w:rPr>
        <w:t>公司220KV线路绝缘子须定期</w:t>
      </w:r>
      <w:r>
        <w:rPr>
          <w:rFonts w:hAnsiTheme="minorEastAsia" w:hint="eastAsia"/>
          <w:sz w:val="24"/>
        </w:rPr>
        <w:t>做表面污染检测，以检测</w:t>
      </w:r>
      <w:r>
        <w:rPr>
          <w:rFonts w:ascii="宋体" w:hAnsi="宋体" w:hint="eastAsia"/>
          <w:sz w:val="24"/>
        </w:rPr>
        <w:t>220KV线路绝缘子受污染程度，及污染后的绝缘子是否</w:t>
      </w:r>
      <w:r>
        <w:rPr>
          <w:rFonts w:hAnsiTheme="minorEastAsia" w:hint="eastAsia"/>
          <w:sz w:val="24"/>
        </w:rPr>
        <w:t>符合生产现场安全运行技术要求。</w:t>
      </w:r>
      <w:r>
        <w:rPr>
          <w:rFonts w:ascii="宋体" w:hAnsi="宋体"/>
          <w:sz w:val="24"/>
        </w:rPr>
        <w:t xml:space="preserve"> </w:t>
      </w:r>
    </w:p>
    <w:p w:rsidR="00B63F31" w:rsidRDefault="00F8426A">
      <w:pPr>
        <w:spacing w:line="360" w:lineRule="auto"/>
        <w:rPr>
          <w:rFonts w:hAnsiTheme="minorEastAsia"/>
          <w:sz w:val="24"/>
        </w:rPr>
      </w:pPr>
      <w:r>
        <w:rPr>
          <w:sz w:val="24"/>
        </w:rPr>
        <w:t>1.3</w:t>
      </w:r>
      <w:r>
        <w:rPr>
          <w:rFonts w:hAnsiTheme="minorEastAsia" w:hint="eastAsia"/>
          <w:sz w:val="24"/>
        </w:rPr>
        <w:t>本技术规范要求经招、投标双方确认后，作为合同的附件，与合同正文具有同等的法律效力。</w:t>
      </w:r>
    </w:p>
    <w:p w:rsidR="00B63F31" w:rsidRDefault="00F8426A">
      <w:pPr>
        <w:spacing w:line="360" w:lineRule="auto"/>
        <w:rPr>
          <w:sz w:val="24"/>
        </w:rPr>
      </w:pPr>
      <w:r>
        <w:rPr>
          <w:sz w:val="24"/>
        </w:rPr>
        <w:t>1.4</w:t>
      </w:r>
      <w:r>
        <w:rPr>
          <w:rFonts w:hAnsiTheme="minorEastAsia" w:hint="eastAsia"/>
          <w:bCs/>
          <w:sz w:val="24"/>
        </w:rPr>
        <w:t>本次</w:t>
      </w:r>
      <w:r>
        <w:rPr>
          <w:rFonts w:hAnsiTheme="minorEastAsia" w:hint="eastAsia"/>
          <w:color w:val="000000" w:themeColor="text1"/>
          <w:sz w:val="24"/>
        </w:rPr>
        <w:t>220KV</w:t>
      </w:r>
      <w:r>
        <w:rPr>
          <w:rFonts w:hAnsiTheme="minorEastAsia" w:hint="eastAsia"/>
          <w:color w:val="000000" w:themeColor="text1"/>
          <w:sz w:val="24"/>
        </w:rPr>
        <w:t>模拟绝缘子安装</w:t>
      </w:r>
      <w:r>
        <w:rPr>
          <w:rFonts w:hAnsiTheme="minorEastAsia" w:hint="eastAsia"/>
          <w:bCs/>
          <w:sz w:val="24"/>
        </w:rPr>
        <w:t>应由有资质的单位进行。安装</w:t>
      </w:r>
      <w:r>
        <w:rPr>
          <w:rFonts w:hAnsiTheme="minorEastAsia" w:hint="eastAsia"/>
          <w:sz w:val="24"/>
        </w:rPr>
        <w:t>施工单位应对安装质量及安装过程中的安全负责。施工单位进入生产现场应接受盐城国丰海上风力发电有限公司运维部统一组织管理，以及安全、质量、进度、技术等要素的管控。</w:t>
      </w:r>
    </w:p>
    <w:p w:rsidR="00B63F31" w:rsidRDefault="00F8426A">
      <w:pPr>
        <w:rPr>
          <w:b/>
          <w:bCs/>
          <w:kern w:val="44"/>
          <w:sz w:val="28"/>
          <w:szCs w:val="44"/>
        </w:rPr>
      </w:pPr>
      <w:r>
        <w:rPr>
          <w:rFonts w:hint="eastAsia"/>
          <w:b/>
          <w:bCs/>
          <w:kern w:val="44"/>
          <w:sz w:val="28"/>
          <w:szCs w:val="44"/>
        </w:rPr>
        <w:t>2</w:t>
      </w:r>
      <w:r>
        <w:rPr>
          <w:b/>
          <w:bCs/>
          <w:kern w:val="44"/>
          <w:sz w:val="28"/>
          <w:szCs w:val="44"/>
        </w:rPr>
        <w:t>、</w:t>
      </w:r>
      <w:r>
        <w:rPr>
          <w:rFonts w:hint="eastAsia"/>
          <w:b/>
          <w:bCs/>
          <w:kern w:val="44"/>
          <w:sz w:val="28"/>
          <w:szCs w:val="44"/>
        </w:rPr>
        <w:t>工程数量及地点描述</w:t>
      </w:r>
      <w:r>
        <w:rPr>
          <w:b/>
          <w:bCs/>
          <w:kern w:val="44"/>
          <w:sz w:val="28"/>
          <w:szCs w:val="44"/>
        </w:rPr>
        <w:t>：</w:t>
      </w:r>
    </w:p>
    <w:p w:rsidR="00B63F31" w:rsidRDefault="00F8426A">
      <w:pPr>
        <w:spacing w:line="360" w:lineRule="auto"/>
        <w:ind w:firstLineChars="200" w:firstLine="480"/>
        <w:rPr>
          <w:rFonts w:ascii="宋体" w:hAnsi="宋体"/>
          <w:sz w:val="24"/>
        </w:rPr>
      </w:pPr>
      <w:bookmarkStart w:id="3" w:name="OLE_LINK9"/>
      <w:bookmarkStart w:id="4" w:name="OLE_LINK10"/>
      <w:bookmarkStart w:id="5" w:name="OLE_LINK11"/>
      <w:bookmarkStart w:id="6" w:name="OLE_LINK15"/>
      <w:r>
        <w:rPr>
          <w:rFonts w:ascii="宋体" w:hAnsi="宋体" w:hint="eastAsia"/>
          <w:sz w:val="24"/>
        </w:rPr>
        <w:t>盐城国丰海上风力发电有限公司位于江苏大丰近海海域，风电场共安装32台单机容量6.45MW的风电机组，总装机容量206.4MW。设两座220kV海上升压站和一座220kV陆上升压站。</w:t>
      </w:r>
    </w:p>
    <w:p w:rsidR="00B63F31" w:rsidRDefault="00F8426A">
      <w:pPr>
        <w:spacing w:line="360" w:lineRule="auto"/>
        <w:ind w:firstLineChars="200" w:firstLine="480"/>
        <w:rPr>
          <w:rFonts w:ascii="宋体" w:hAnsi="宋体"/>
          <w:sz w:val="24"/>
        </w:rPr>
      </w:pPr>
      <w:r>
        <w:rPr>
          <w:rFonts w:ascii="宋体" w:hAnsi="宋体" w:hint="eastAsia"/>
          <w:sz w:val="24"/>
        </w:rPr>
        <w:t>220kV 海缆登陆点后经电缆沟，引上至首端塔（Z1）、架空线、终端塔（Z11）引下至陆上集控中心电缆沟。全段包含约 1km 的电缆沟，13座铁塔（双回路耐张塔4座；其中四回路直线塔3座，四回路耐张塔 6座）。</w:t>
      </w:r>
    </w:p>
    <w:p w:rsidR="00B63F31" w:rsidRDefault="00F8426A">
      <w:pPr>
        <w:spacing w:line="360" w:lineRule="auto"/>
        <w:ind w:firstLineChars="200" w:firstLine="480"/>
        <w:rPr>
          <w:rFonts w:ascii="宋体" w:hAnsi="宋体"/>
          <w:sz w:val="24"/>
        </w:rPr>
      </w:pPr>
      <w:r>
        <w:rPr>
          <w:rFonts w:ascii="宋体" w:hAnsi="宋体" w:hint="eastAsia"/>
          <w:sz w:val="24"/>
        </w:rPr>
        <w:t>首端与终端均为双回路耐张塔。首端塔Z1型号：SDJDL-24，位于三峡毛竹沙陆上集控中心西南角30米，坐标：北纬33.144°，东经120.839°；终端塔Z11型号：SDJDL-33，位于陆上集控中心东北角40米，坐标：北纬33.138°，东经120.809°。铁塔详细数据见SDJDL塔型总图。</w:t>
      </w:r>
    </w:p>
    <w:p w:rsidR="00B63F31" w:rsidRDefault="00F8426A">
      <w:pPr>
        <w:spacing w:line="360" w:lineRule="auto"/>
        <w:ind w:firstLineChars="200" w:firstLine="480"/>
        <w:rPr>
          <w:rFonts w:ascii="宋体" w:hAnsi="宋体"/>
          <w:sz w:val="24"/>
        </w:rPr>
      </w:pPr>
      <w:r>
        <w:rPr>
          <w:rFonts w:ascii="宋体" w:hAnsi="宋体" w:hint="eastAsia"/>
          <w:sz w:val="24"/>
        </w:rPr>
        <w:t>首端塔Z1与终端塔Z11各安装10片模拟绝缘子串，模拟绝缘子串安装于铁塔呼高中心位置，用钢丝绳牵引悬挂于滑轮上，钢丝绳另一端安装与手动绞盘上，手动绞盘固定在铁塔下层的平台上。滑轮用老虎卡固定在铁塔角钢上，手动绞盘需定制一个支架，方便与铁塔角钢安装。支架具体尺寸需到现场测量。</w:t>
      </w:r>
    </w:p>
    <w:bookmarkEnd w:id="3"/>
    <w:bookmarkEnd w:id="4"/>
    <w:bookmarkEnd w:id="5"/>
    <w:bookmarkEnd w:id="6"/>
    <w:p w:rsidR="00B63F31" w:rsidRDefault="00F8426A">
      <w:pPr>
        <w:spacing w:line="360" w:lineRule="auto"/>
        <w:rPr>
          <w:b/>
          <w:bCs/>
          <w:kern w:val="44"/>
          <w:sz w:val="28"/>
          <w:szCs w:val="44"/>
        </w:rPr>
      </w:pPr>
      <w:r>
        <w:rPr>
          <w:rFonts w:hint="eastAsia"/>
          <w:b/>
          <w:bCs/>
          <w:kern w:val="44"/>
          <w:sz w:val="28"/>
          <w:szCs w:val="44"/>
        </w:rPr>
        <w:lastRenderedPageBreak/>
        <w:t>3</w:t>
      </w:r>
      <w:r>
        <w:rPr>
          <w:rFonts w:hint="eastAsia"/>
          <w:b/>
          <w:bCs/>
          <w:kern w:val="44"/>
          <w:sz w:val="28"/>
          <w:szCs w:val="44"/>
        </w:rPr>
        <w:t>、施工所需材料：</w:t>
      </w:r>
    </w:p>
    <w:p w:rsidR="00B63F31" w:rsidRDefault="00F8426A">
      <w:pPr>
        <w:spacing w:line="360" w:lineRule="auto"/>
        <w:ind w:firstLineChars="200" w:firstLine="480"/>
        <w:rPr>
          <w:color w:val="000000"/>
          <w:sz w:val="24"/>
        </w:rPr>
      </w:pPr>
      <w:r>
        <w:rPr>
          <w:rFonts w:hAnsiTheme="minorEastAsia" w:hint="eastAsia"/>
          <w:sz w:val="24"/>
        </w:rPr>
        <w:t>本次模拟绝缘子安装主要材料见下表：</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2435"/>
        <w:gridCol w:w="2550"/>
        <w:gridCol w:w="830"/>
        <w:gridCol w:w="720"/>
        <w:gridCol w:w="1000"/>
      </w:tblGrid>
      <w:tr w:rsidR="00B63F31">
        <w:trPr>
          <w:trHeight w:val="567"/>
          <w:jc w:val="center"/>
        </w:trPr>
        <w:tc>
          <w:tcPr>
            <w:tcW w:w="761" w:type="dxa"/>
            <w:vAlign w:val="center"/>
          </w:tcPr>
          <w:p w:rsidR="00B63F31" w:rsidRDefault="00F8426A">
            <w:pPr>
              <w:jc w:val="center"/>
              <w:rPr>
                <w:rFonts w:eastAsia="宋体"/>
                <w:b/>
                <w:sz w:val="24"/>
              </w:rPr>
            </w:pPr>
            <w:r>
              <w:rPr>
                <w:rFonts w:hint="eastAsia"/>
                <w:b/>
                <w:sz w:val="24"/>
              </w:rPr>
              <w:t>序号</w:t>
            </w:r>
          </w:p>
        </w:tc>
        <w:tc>
          <w:tcPr>
            <w:tcW w:w="2435" w:type="dxa"/>
            <w:vAlign w:val="center"/>
          </w:tcPr>
          <w:p w:rsidR="00B63F31" w:rsidRDefault="00F8426A">
            <w:pPr>
              <w:jc w:val="center"/>
              <w:rPr>
                <w:b/>
                <w:sz w:val="24"/>
              </w:rPr>
            </w:pPr>
            <w:r>
              <w:rPr>
                <w:rFonts w:hint="eastAsia"/>
                <w:b/>
                <w:sz w:val="24"/>
              </w:rPr>
              <w:t>材料名称</w:t>
            </w:r>
          </w:p>
        </w:tc>
        <w:tc>
          <w:tcPr>
            <w:tcW w:w="2550" w:type="dxa"/>
            <w:vAlign w:val="center"/>
          </w:tcPr>
          <w:p w:rsidR="00B63F31" w:rsidRDefault="00F8426A">
            <w:pPr>
              <w:jc w:val="center"/>
              <w:rPr>
                <w:b/>
                <w:sz w:val="24"/>
              </w:rPr>
            </w:pPr>
            <w:r>
              <w:rPr>
                <w:rFonts w:hint="eastAsia"/>
                <w:b/>
                <w:sz w:val="24"/>
              </w:rPr>
              <w:t>规格型号</w:t>
            </w:r>
          </w:p>
        </w:tc>
        <w:tc>
          <w:tcPr>
            <w:tcW w:w="830" w:type="dxa"/>
            <w:vAlign w:val="center"/>
          </w:tcPr>
          <w:p w:rsidR="00B63F31" w:rsidRDefault="00F8426A">
            <w:pPr>
              <w:jc w:val="center"/>
              <w:rPr>
                <w:b/>
                <w:sz w:val="24"/>
              </w:rPr>
            </w:pPr>
            <w:r>
              <w:rPr>
                <w:rFonts w:hint="eastAsia"/>
                <w:b/>
                <w:sz w:val="24"/>
              </w:rPr>
              <w:t>单位</w:t>
            </w:r>
          </w:p>
        </w:tc>
        <w:tc>
          <w:tcPr>
            <w:tcW w:w="720" w:type="dxa"/>
            <w:vAlign w:val="center"/>
          </w:tcPr>
          <w:p w:rsidR="00B63F31" w:rsidRDefault="00F8426A">
            <w:pPr>
              <w:jc w:val="center"/>
              <w:rPr>
                <w:b/>
                <w:sz w:val="24"/>
              </w:rPr>
            </w:pPr>
            <w:r>
              <w:rPr>
                <w:rFonts w:hint="eastAsia"/>
                <w:b/>
                <w:sz w:val="24"/>
              </w:rPr>
              <w:t>数量</w:t>
            </w:r>
          </w:p>
        </w:tc>
        <w:tc>
          <w:tcPr>
            <w:tcW w:w="1000" w:type="dxa"/>
            <w:vAlign w:val="center"/>
          </w:tcPr>
          <w:p w:rsidR="00B63F31" w:rsidRDefault="00F8426A">
            <w:pPr>
              <w:jc w:val="center"/>
              <w:rPr>
                <w:b/>
                <w:sz w:val="24"/>
              </w:rPr>
            </w:pPr>
            <w:r>
              <w:rPr>
                <w:rFonts w:hint="eastAsia"/>
                <w:b/>
                <w:sz w:val="24"/>
              </w:rPr>
              <w:t>品牌</w:t>
            </w:r>
          </w:p>
        </w:tc>
      </w:tr>
      <w:tr w:rsidR="00B63F31">
        <w:trPr>
          <w:trHeight w:val="454"/>
          <w:jc w:val="center"/>
        </w:trPr>
        <w:tc>
          <w:tcPr>
            <w:tcW w:w="761" w:type="dxa"/>
            <w:vAlign w:val="center"/>
          </w:tcPr>
          <w:p w:rsidR="00B63F31" w:rsidRDefault="00F8426A">
            <w:pPr>
              <w:jc w:val="center"/>
              <w:rPr>
                <w:rFonts w:eastAsia="宋体"/>
                <w:b/>
                <w:sz w:val="24"/>
              </w:rPr>
            </w:pPr>
            <w:r>
              <w:rPr>
                <w:rFonts w:hint="eastAsia"/>
                <w:b/>
                <w:sz w:val="24"/>
              </w:rPr>
              <w:t>1</w:t>
            </w:r>
          </w:p>
        </w:tc>
        <w:tc>
          <w:tcPr>
            <w:tcW w:w="2435" w:type="dxa"/>
            <w:vAlign w:val="center"/>
          </w:tcPr>
          <w:p w:rsidR="00B63F31" w:rsidRDefault="00F8426A">
            <w:pPr>
              <w:jc w:val="center"/>
              <w:rPr>
                <w:rFonts w:eastAsia="宋体"/>
                <w:sz w:val="24"/>
              </w:rPr>
            </w:pPr>
            <w:r>
              <w:rPr>
                <w:rFonts w:hint="eastAsia"/>
                <w:sz w:val="24"/>
              </w:rPr>
              <w:t>玻璃绝缘子</w:t>
            </w:r>
          </w:p>
        </w:tc>
        <w:tc>
          <w:tcPr>
            <w:tcW w:w="2550" w:type="dxa"/>
            <w:vAlign w:val="center"/>
          </w:tcPr>
          <w:p w:rsidR="00B63F31" w:rsidRDefault="00F8426A">
            <w:pPr>
              <w:jc w:val="center"/>
              <w:rPr>
                <w:rFonts w:eastAsia="宋体"/>
                <w:sz w:val="24"/>
              </w:rPr>
            </w:pPr>
            <w:r>
              <w:rPr>
                <w:rFonts w:hint="eastAsia"/>
                <w:sz w:val="24"/>
              </w:rPr>
              <w:t>U120B/146</w:t>
            </w:r>
          </w:p>
        </w:tc>
        <w:tc>
          <w:tcPr>
            <w:tcW w:w="830" w:type="dxa"/>
            <w:vAlign w:val="center"/>
          </w:tcPr>
          <w:p w:rsidR="00B63F31" w:rsidRDefault="00F8426A">
            <w:pPr>
              <w:jc w:val="center"/>
              <w:rPr>
                <w:rFonts w:eastAsia="宋体"/>
                <w:sz w:val="24"/>
              </w:rPr>
            </w:pPr>
            <w:r>
              <w:rPr>
                <w:rFonts w:eastAsia="宋体" w:hint="eastAsia"/>
                <w:sz w:val="24"/>
              </w:rPr>
              <w:t>片</w:t>
            </w:r>
          </w:p>
        </w:tc>
        <w:tc>
          <w:tcPr>
            <w:tcW w:w="720" w:type="dxa"/>
            <w:vAlign w:val="center"/>
          </w:tcPr>
          <w:p w:rsidR="00B63F31" w:rsidRDefault="00F8426A">
            <w:pPr>
              <w:jc w:val="center"/>
              <w:rPr>
                <w:rFonts w:eastAsia="宋体"/>
                <w:sz w:val="24"/>
              </w:rPr>
            </w:pPr>
            <w:r>
              <w:rPr>
                <w:rFonts w:eastAsia="宋体" w:hint="eastAsia"/>
                <w:sz w:val="24"/>
              </w:rPr>
              <w:t>20</w:t>
            </w:r>
          </w:p>
        </w:tc>
        <w:tc>
          <w:tcPr>
            <w:tcW w:w="1000" w:type="dxa"/>
            <w:vAlign w:val="center"/>
          </w:tcPr>
          <w:p w:rsidR="00B63F31" w:rsidRDefault="00B63F31">
            <w:pPr>
              <w:jc w:val="center"/>
              <w:rPr>
                <w:rFonts w:eastAsia="宋体"/>
                <w:sz w:val="24"/>
              </w:rPr>
            </w:pPr>
          </w:p>
        </w:tc>
      </w:tr>
      <w:tr w:rsidR="00B63F31">
        <w:trPr>
          <w:trHeight w:val="454"/>
          <w:jc w:val="center"/>
        </w:trPr>
        <w:tc>
          <w:tcPr>
            <w:tcW w:w="761" w:type="dxa"/>
            <w:vAlign w:val="center"/>
          </w:tcPr>
          <w:p w:rsidR="00B63F31" w:rsidRDefault="00F8426A">
            <w:pPr>
              <w:jc w:val="center"/>
              <w:rPr>
                <w:rFonts w:eastAsia="宋体"/>
                <w:b/>
                <w:sz w:val="24"/>
              </w:rPr>
            </w:pPr>
            <w:r>
              <w:rPr>
                <w:rFonts w:hint="eastAsia"/>
                <w:b/>
                <w:sz w:val="24"/>
              </w:rPr>
              <w:t>2</w:t>
            </w:r>
          </w:p>
        </w:tc>
        <w:tc>
          <w:tcPr>
            <w:tcW w:w="2435" w:type="dxa"/>
            <w:vAlign w:val="center"/>
          </w:tcPr>
          <w:p w:rsidR="00B63F31" w:rsidRDefault="00F8426A">
            <w:pPr>
              <w:jc w:val="center"/>
              <w:rPr>
                <w:rFonts w:eastAsia="宋体"/>
                <w:sz w:val="24"/>
              </w:rPr>
            </w:pPr>
            <w:r>
              <w:rPr>
                <w:rFonts w:hint="eastAsia"/>
                <w:sz w:val="24"/>
              </w:rPr>
              <w:t>球头挂环</w:t>
            </w:r>
          </w:p>
        </w:tc>
        <w:tc>
          <w:tcPr>
            <w:tcW w:w="2550" w:type="dxa"/>
            <w:vAlign w:val="center"/>
          </w:tcPr>
          <w:p w:rsidR="00B63F31" w:rsidRDefault="00F8426A">
            <w:pPr>
              <w:jc w:val="center"/>
              <w:rPr>
                <w:rFonts w:eastAsia="宋体"/>
                <w:sz w:val="24"/>
              </w:rPr>
            </w:pPr>
            <w:r>
              <w:rPr>
                <w:rFonts w:hint="eastAsia"/>
                <w:sz w:val="24"/>
              </w:rPr>
              <w:t>QP-1260</w:t>
            </w:r>
          </w:p>
        </w:tc>
        <w:tc>
          <w:tcPr>
            <w:tcW w:w="830" w:type="dxa"/>
            <w:vAlign w:val="center"/>
          </w:tcPr>
          <w:p w:rsidR="00B63F31" w:rsidRDefault="00F8426A">
            <w:pPr>
              <w:jc w:val="center"/>
              <w:rPr>
                <w:rFonts w:eastAsia="宋体"/>
                <w:sz w:val="24"/>
              </w:rPr>
            </w:pPr>
            <w:r>
              <w:rPr>
                <w:rFonts w:eastAsia="宋体" w:hint="eastAsia"/>
                <w:sz w:val="24"/>
              </w:rPr>
              <w:t>个</w:t>
            </w:r>
          </w:p>
        </w:tc>
        <w:tc>
          <w:tcPr>
            <w:tcW w:w="720" w:type="dxa"/>
            <w:vAlign w:val="center"/>
          </w:tcPr>
          <w:p w:rsidR="00B63F31" w:rsidRDefault="00F8426A">
            <w:pPr>
              <w:jc w:val="center"/>
              <w:rPr>
                <w:rFonts w:eastAsia="宋体"/>
                <w:sz w:val="24"/>
              </w:rPr>
            </w:pPr>
            <w:r>
              <w:rPr>
                <w:rFonts w:eastAsia="宋体" w:hint="eastAsia"/>
                <w:sz w:val="24"/>
              </w:rPr>
              <w:t>2</w:t>
            </w:r>
          </w:p>
        </w:tc>
        <w:tc>
          <w:tcPr>
            <w:tcW w:w="1000" w:type="dxa"/>
            <w:vAlign w:val="center"/>
          </w:tcPr>
          <w:p w:rsidR="00B63F31" w:rsidRDefault="00B63F31">
            <w:pPr>
              <w:jc w:val="center"/>
              <w:rPr>
                <w:rFonts w:eastAsia="宋体"/>
                <w:sz w:val="24"/>
              </w:rPr>
            </w:pPr>
          </w:p>
        </w:tc>
      </w:tr>
      <w:tr w:rsidR="00B63F31">
        <w:trPr>
          <w:trHeight w:val="454"/>
          <w:jc w:val="center"/>
        </w:trPr>
        <w:tc>
          <w:tcPr>
            <w:tcW w:w="761" w:type="dxa"/>
            <w:vAlign w:val="center"/>
          </w:tcPr>
          <w:p w:rsidR="00B63F31" w:rsidRDefault="00F8426A">
            <w:pPr>
              <w:jc w:val="center"/>
              <w:rPr>
                <w:rFonts w:eastAsia="宋体"/>
                <w:b/>
                <w:sz w:val="24"/>
              </w:rPr>
            </w:pPr>
            <w:r>
              <w:rPr>
                <w:rFonts w:hint="eastAsia"/>
                <w:b/>
                <w:sz w:val="24"/>
              </w:rPr>
              <w:t>3</w:t>
            </w:r>
          </w:p>
        </w:tc>
        <w:tc>
          <w:tcPr>
            <w:tcW w:w="2435" w:type="dxa"/>
            <w:vAlign w:val="center"/>
          </w:tcPr>
          <w:p w:rsidR="00B63F31" w:rsidRDefault="00F8426A">
            <w:pPr>
              <w:jc w:val="center"/>
              <w:rPr>
                <w:rFonts w:eastAsia="宋体"/>
                <w:sz w:val="24"/>
              </w:rPr>
            </w:pPr>
            <w:r>
              <w:rPr>
                <w:rFonts w:ascii="Times New Roman" w:eastAsia="宋体" w:hAnsi="Times New Roman" w:cs="Times New Roman" w:hint="eastAsia"/>
                <w:sz w:val="24"/>
              </w:rPr>
              <w:t>手摇绞盘</w:t>
            </w:r>
          </w:p>
        </w:tc>
        <w:tc>
          <w:tcPr>
            <w:tcW w:w="2550" w:type="dxa"/>
            <w:vAlign w:val="center"/>
          </w:tcPr>
          <w:p w:rsidR="00B63F31" w:rsidRDefault="00F8426A">
            <w:pPr>
              <w:jc w:val="center"/>
              <w:rPr>
                <w:rFonts w:eastAsia="宋体"/>
                <w:sz w:val="24"/>
              </w:rPr>
            </w:pPr>
            <w:r>
              <w:rPr>
                <w:rFonts w:ascii="Times New Roman" w:eastAsia="宋体" w:hAnsi="Times New Roman" w:cs="Times New Roman" w:hint="eastAsia"/>
                <w:sz w:val="24"/>
              </w:rPr>
              <w:t xml:space="preserve"> JC-E-500</w:t>
            </w:r>
          </w:p>
        </w:tc>
        <w:tc>
          <w:tcPr>
            <w:tcW w:w="830" w:type="dxa"/>
            <w:vAlign w:val="center"/>
          </w:tcPr>
          <w:p w:rsidR="00B63F31" w:rsidRDefault="00F8426A">
            <w:pPr>
              <w:jc w:val="center"/>
              <w:rPr>
                <w:rFonts w:eastAsia="宋体"/>
                <w:sz w:val="24"/>
              </w:rPr>
            </w:pPr>
            <w:r>
              <w:rPr>
                <w:rFonts w:eastAsia="宋体" w:hint="eastAsia"/>
                <w:sz w:val="24"/>
              </w:rPr>
              <w:t>台</w:t>
            </w:r>
          </w:p>
        </w:tc>
        <w:tc>
          <w:tcPr>
            <w:tcW w:w="720" w:type="dxa"/>
            <w:vAlign w:val="center"/>
          </w:tcPr>
          <w:p w:rsidR="00B63F31" w:rsidRDefault="00F8426A">
            <w:pPr>
              <w:jc w:val="center"/>
              <w:rPr>
                <w:rFonts w:eastAsia="宋体"/>
                <w:sz w:val="24"/>
              </w:rPr>
            </w:pPr>
            <w:r>
              <w:rPr>
                <w:rFonts w:eastAsia="宋体" w:hint="eastAsia"/>
                <w:sz w:val="24"/>
              </w:rPr>
              <w:t>2</w:t>
            </w:r>
          </w:p>
        </w:tc>
        <w:tc>
          <w:tcPr>
            <w:tcW w:w="1000" w:type="dxa"/>
            <w:vAlign w:val="center"/>
          </w:tcPr>
          <w:p w:rsidR="00B63F31" w:rsidRDefault="00F8426A">
            <w:pPr>
              <w:jc w:val="center"/>
              <w:rPr>
                <w:rFonts w:eastAsia="宋体"/>
                <w:sz w:val="24"/>
              </w:rPr>
            </w:pPr>
            <w:r>
              <w:rPr>
                <w:rFonts w:ascii="Times New Roman" w:eastAsia="宋体" w:hAnsi="Times New Roman" w:cs="Times New Roman" w:hint="eastAsia"/>
                <w:sz w:val="24"/>
              </w:rPr>
              <w:t>智友</w:t>
            </w:r>
          </w:p>
        </w:tc>
      </w:tr>
      <w:tr w:rsidR="00B63F31">
        <w:trPr>
          <w:trHeight w:val="454"/>
          <w:jc w:val="center"/>
        </w:trPr>
        <w:tc>
          <w:tcPr>
            <w:tcW w:w="761" w:type="dxa"/>
            <w:vAlign w:val="center"/>
          </w:tcPr>
          <w:p w:rsidR="00B63F31" w:rsidRDefault="00F8426A">
            <w:pPr>
              <w:jc w:val="center"/>
              <w:rPr>
                <w:rFonts w:eastAsia="宋体"/>
                <w:b/>
                <w:sz w:val="24"/>
              </w:rPr>
            </w:pPr>
            <w:r>
              <w:rPr>
                <w:rFonts w:hint="eastAsia"/>
                <w:b/>
                <w:sz w:val="24"/>
              </w:rPr>
              <w:t>4</w:t>
            </w:r>
          </w:p>
        </w:tc>
        <w:tc>
          <w:tcPr>
            <w:tcW w:w="2435"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不锈钢钢丝绳</w:t>
            </w:r>
          </w:p>
        </w:tc>
        <w:tc>
          <w:tcPr>
            <w:tcW w:w="255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5mm</w:t>
            </w:r>
          </w:p>
        </w:tc>
        <w:tc>
          <w:tcPr>
            <w:tcW w:w="83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米</w:t>
            </w:r>
          </w:p>
        </w:tc>
        <w:tc>
          <w:tcPr>
            <w:tcW w:w="72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150</w:t>
            </w:r>
          </w:p>
        </w:tc>
        <w:tc>
          <w:tcPr>
            <w:tcW w:w="1000" w:type="dxa"/>
            <w:vAlign w:val="center"/>
          </w:tcPr>
          <w:p w:rsidR="00B63F31" w:rsidRDefault="00B63F31">
            <w:pPr>
              <w:jc w:val="center"/>
              <w:rPr>
                <w:rFonts w:ascii="Times New Roman" w:eastAsia="宋体" w:hAnsi="Times New Roman" w:cs="Times New Roman"/>
                <w:sz w:val="24"/>
              </w:rPr>
            </w:pPr>
          </w:p>
        </w:tc>
      </w:tr>
      <w:tr w:rsidR="00B63F31">
        <w:trPr>
          <w:trHeight w:val="454"/>
          <w:jc w:val="center"/>
        </w:trPr>
        <w:tc>
          <w:tcPr>
            <w:tcW w:w="761" w:type="dxa"/>
            <w:vAlign w:val="center"/>
          </w:tcPr>
          <w:p w:rsidR="00B63F31" w:rsidRDefault="00F8426A">
            <w:pPr>
              <w:jc w:val="center"/>
              <w:rPr>
                <w:rFonts w:eastAsia="宋体"/>
                <w:b/>
                <w:sz w:val="24"/>
              </w:rPr>
            </w:pPr>
            <w:r>
              <w:rPr>
                <w:rFonts w:hint="eastAsia"/>
                <w:b/>
                <w:sz w:val="24"/>
              </w:rPr>
              <w:t>5</w:t>
            </w:r>
          </w:p>
        </w:tc>
        <w:tc>
          <w:tcPr>
            <w:tcW w:w="2435"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不锈钢夹头</w:t>
            </w:r>
          </w:p>
        </w:tc>
        <w:tc>
          <w:tcPr>
            <w:tcW w:w="255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M5</w:t>
            </w:r>
          </w:p>
        </w:tc>
        <w:tc>
          <w:tcPr>
            <w:tcW w:w="83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个</w:t>
            </w:r>
          </w:p>
        </w:tc>
        <w:tc>
          <w:tcPr>
            <w:tcW w:w="72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8</w:t>
            </w:r>
          </w:p>
        </w:tc>
        <w:tc>
          <w:tcPr>
            <w:tcW w:w="1000" w:type="dxa"/>
            <w:vAlign w:val="center"/>
          </w:tcPr>
          <w:p w:rsidR="00B63F31" w:rsidRDefault="00B63F31">
            <w:pPr>
              <w:jc w:val="center"/>
              <w:rPr>
                <w:rFonts w:ascii="Times New Roman" w:eastAsia="宋体" w:hAnsi="Times New Roman" w:cs="Times New Roman"/>
                <w:sz w:val="24"/>
              </w:rPr>
            </w:pPr>
          </w:p>
        </w:tc>
      </w:tr>
      <w:tr w:rsidR="00B63F31">
        <w:trPr>
          <w:trHeight w:val="454"/>
          <w:jc w:val="center"/>
        </w:trPr>
        <w:tc>
          <w:tcPr>
            <w:tcW w:w="761" w:type="dxa"/>
            <w:vAlign w:val="center"/>
          </w:tcPr>
          <w:p w:rsidR="00B63F31" w:rsidRDefault="00F8426A">
            <w:pPr>
              <w:jc w:val="center"/>
              <w:rPr>
                <w:b/>
                <w:sz w:val="24"/>
              </w:rPr>
            </w:pPr>
            <w:r>
              <w:rPr>
                <w:rFonts w:hint="eastAsia"/>
                <w:b/>
                <w:sz w:val="24"/>
              </w:rPr>
              <w:t>6</w:t>
            </w:r>
          </w:p>
        </w:tc>
        <w:tc>
          <w:tcPr>
            <w:tcW w:w="2435"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不锈钢鸡心环</w:t>
            </w:r>
          </w:p>
        </w:tc>
        <w:tc>
          <w:tcPr>
            <w:tcW w:w="255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M5</w:t>
            </w:r>
          </w:p>
        </w:tc>
        <w:tc>
          <w:tcPr>
            <w:tcW w:w="83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个</w:t>
            </w:r>
          </w:p>
        </w:tc>
        <w:tc>
          <w:tcPr>
            <w:tcW w:w="72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4</w:t>
            </w:r>
          </w:p>
        </w:tc>
        <w:tc>
          <w:tcPr>
            <w:tcW w:w="1000" w:type="dxa"/>
            <w:vAlign w:val="center"/>
          </w:tcPr>
          <w:p w:rsidR="00B63F31" w:rsidRDefault="00B63F31">
            <w:pPr>
              <w:jc w:val="center"/>
              <w:rPr>
                <w:rFonts w:ascii="Times New Roman" w:eastAsia="宋体" w:hAnsi="Times New Roman" w:cs="Times New Roman"/>
                <w:sz w:val="24"/>
              </w:rPr>
            </w:pPr>
          </w:p>
        </w:tc>
      </w:tr>
      <w:tr w:rsidR="00B63F31">
        <w:trPr>
          <w:trHeight w:val="454"/>
          <w:jc w:val="center"/>
        </w:trPr>
        <w:tc>
          <w:tcPr>
            <w:tcW w:w="761" w:type="dxa"/>
            <w:vAlign w:val="center"/>
          </w:tcPr>
          <w:p w:rsidR="00B63F31" w:rsidRDefault="00F8426A">
            <w:pPr>
              <w:jc w:val="center"/>
              <w:rPr>
                <w:b/>
                <w:sz w:val="24"/>
              </w:rPr>
            </w:pPr>
            <w:r>
              <w:rPr>
                <w:rFonts w:hint="eastAsia"/>
                <w:b/>
                <w:sz w:val="24"/>
              </w:rPr>
              <w:t>7</w:t>
            </w:r>
          </w:p>
        </w:tc>
        <w:tc>
          <w:tcPr>
            <w:tcW w:w="2435"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D</w:t>
            </w:r>
            <w:r>
              <w:rPr>
                <w:rFonts w:ascii="Times New Roman" w:eastAsia="宋体" w:hAnsi="Times New Roman" w:cs="Times New Roman" w:hint="eastAsia"/>
                <w:sz w:val="24"/>
              </w:rPr>
              <w:t>型卸扣</w:t>
            </w:r>
          </w:p>
        </w:tc>
        <w:tc>
          <w:tcPr>
            <w:tcW w:w="255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DX3.25-5/8</w:t>
            </w:r>
          </w:p>
        </w:tc>
        <w:tc>
          <w:tcPr>
            <w:tcW w:w="83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个</w:t>
            </w:r>
          </w:p>
        </w:tc>
        <w:tc>
          <w:tcPr>
            <w:tcW w:w="72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4</w:t>
            </w:r>
          </w:p>
        </w:tc>
        <w:tc>
          <w:tcPr>
            <w:tcW w:w="100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KITO</w:t>
            </w:r>
          </w:p>
        </w:tc>
      </w:tr>
      <w:tr w:rsidR="00B63F31">
        <w:trPr>
          <w:trHeight w:val="454"/>
          <w:jc w:val="center"/>
        </w:trPr>
        <w:tc>
          <w:tcPr>
            <w:tcW w:w="761" w:type="dxa"/>
            <w:vAlign w:val="center"/>
          </w:tcPr>
          <w:p w:rsidR="00B63F31" w:rsidRDefault="00F8426A">
            <w:pPr>
              <w:jc w:val="center"/>
              <w:rPr>
                <w:b/>
                <w:sz w:val="24"/>
              </w:rPr>
            </w:pPr>
            <w:r>
              <w:rPr>
                <w:rFonts w:hint="eastAsia"/>
                <w:b/>
                <w:sz w:val="24"/>
              </w:rPr>
              <w:t>8</w:t>
            </w:r>
          </w:p>
        </w:tc>
        <w:tc>
          <w:tcPr>
            <w:tcW w:w="2435"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不锈钢轮起重滑轮</w:t>
            </w:r>
          </w:p>
        </w:tc>
        <w:tc>
          <w:tcPr>
            <w:tcW w:w="255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U-68</w:t>
            </w:r>
          </w:p>
        </w:tc>
        <w:tc>
          <w:tcPr>
            <w:tcW w:w="83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个</w:t>
            </w:r>
          </w:p>
        </w:tc>
        <w:tc>
          <w:tcPr>
            <w:tcW w:w="72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4</w:t>
            </w:r>
          </w:p>
        </w:tc>
        <w:tc>
          <w:tcPr>
            <w:tcW w:w="100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KITO</w:t>
            </w:r>
          </w:p>
        </w:tc>
      </w:tr>
      <w:tr w:rsidR="00B63F31">
        <w:trPr>
          <w:trHeight w:val="454"/>
          <w:jc w:val="center"/>
        </w:trPr>
        <w:tc>
          <w:tcPr>
            <w:tcW w:w="761" w:type="dxa"/>
            <w:vAlign w:val="center"/>
          </w:tcPr>
          <w:p w:rsidR="00B63F31" w:rsidRDefault="00F8426A">
            <w:pPr>
              <w:jc w:val="center"/>
              <w:rPr>
                <w:b/>
                <w:sz w:val="24"/>
              </w:rPr>
            </w:pPr>
            <w:r>
              <w:rPr>
                <w:rFonts w:hint="eastAsia"/>
                <w:b/>
                <w:sz w:val="24"/>
              </w:rPr>
              <w:t>9</w:t>
            </w:r>
          </w:p>
        </w:tc>
        <w:tc>
          <w:tcPr>
            <w:tcW w:w="2435"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不锈钢老虎卡</w:t>
            </w:r>
          </w:p>
        </w:tc>
        <w:tc>
          <w:tcPr>
            <w:tcW w:w="255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开口</w:t>
            </w:r>
            <w:r>
              <w:rPr>
                <w:rFonts w:ascii="Times New Roman" w:eastAsia="宋体" w:hAnsi="Times New Roman" w:cs="Times New Roman" w:hint="eastAsia"/>
                <w:sz w:val="24"/>
              </w:rPr>
              <w:t>20mm</w:t>
            </w:r>
            <w:r>
              <w:rPr>
                <w:rFonts w:ascii="Times New Roman" w:eastAsia="宋体" w:hAnsi="Times New Roman" w:cs="Times New Roman" w:hint="eastAsia"/>
                <w:sz w:val="24"/>
              </w:rPr>
              <w:t>（铸件）</w:t>
            </w:r>
          </w:p>
        </w:tc>
        <w:tc>
          <w:tcPr>
            <w:tcW w:w="83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个</w:t>
            </w:r>
          </w:p>
        </w:tc>
        <w:tc>
          <w:tcPr>
            <w:tcW w:w="72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50</w:t>
            </w:r>
          </w:p>
        </w:tc>
        <w:tc>
          <w:tcPr>
            <w:tcW w:w="1000" w:type="dxa"/>
            <w:vAlign w:val="center"/>
          </w:tcPr>
          <w:p w:rsidR="00B63F31" w:rsidRDefault="00B63F31">
            <w:pPr>
              <w:jc w:val="center"/>
              <w:rPr>
                <w:rFonts w:ascii="Times New Roman" w:eastAsia="宋体" w:hAnsi="Times New Roman" w:cs="Times New Roman"/>
                <w:sz w:val="24"/>
              </w:rPr>
            </w:pPr>
          </w:p>
        </w:tc>
      </w:tr>
      <w:tr w:rsidR="00B63F31">
        <w:trPr>
          <w:trHeight w:val="454"/>
          <w:jc w:val="center"/>
        </w:trPr>
        <w:tc>
          <w:tcPr>
            <w:tcW w:w="761" w:type="dxa"/>
            <w:vAlign w:val="center"/>
          </w:tcPr>
          <w:p w:rsidR="00B63F31" w:rsidRDefault="00F8426A">
            <w:pPr>
              <w:jc w:val="center"/>
              <w:rPr>
                <w:b/>
                <w:sz w:val="24"/>
              </w:rPr>
            </w:pPr>
            <w:r>
              <w:rPr>
                <w:rFonts w:hint="eastAsia"/>
                <w:b/>
                <w:sz w:val="24"/>
              </w:rPr>
              <w:t>10</w:t>
            </w:r>
          </w:p>
        </w:tc>
        <w:tc>
          <w:tcPr>
            <w:tcW w:w="2435"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镀锌花角钢</w:t>
            </w:r>
          </w:p>
        </w:tc>
        <w:tc>
          <w:tcPr>
            <w:tcW w:w="255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40</w:t>
            </w:r>
            <w:r>
              <w:rPr>
                <w:rFonts w:ascii="Times New Roman" w:eastAsia="宋体" w:hAnsi="Times New Roman" w:cs="Times New Roman" w:hint="eastAsia"/>
                <w:sz w:val="24"/>
              </w:rPr>
              <w:t>×</w:t>
            </w:r>
            <w:r>
              <w:rPr>
                <w:rFonts w:ascii="Times New Roman" w:eastAsia="宋体" w:hAnsi="Times New Roman" w:cs="Times New Roman" w:hint="eastAsia"/>
                <w:sz w:val="24"/>
              </w:rPr>
              <w:t>40</w:t>
            </w:r>
            <w:r>
              <w:rPr>
                <w:rFonts w:ascii="Times New Roman" w:eastAsia="宋体" w:hAnsi="Times New Roman" w:cs="Times New Roman" w:hint="eastAsia"/>
                <w:sz w:val="24"/>
              </w:rPr>
              <w:t>×</w:t>
            </w:r>
            <w:r>
              <w:rPr>
                <w:rFonts w:ascii="Times New Roman" w:eastAsia="宋体" w:hAnsi="Times New Roman" w:cs="Times New Roman" w:hint="eastAsia"/>
                <w:sz w:val="24"/>
              </w:rPr>
              <w:t>3</w:t>
            </w:r>
          </w:p>
        </w:tc>
        <w:tc>
          <w:tcPr>
            <w:tcW w:w="83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米</w:t>
            </w:r>
          </w:p>
        </w:tc>
        <w:tc>
          <w:tcPr>
            <w:tcW w:w="720" w:type="dxa"/>
            <w:vAlign w:val="center"/>
          </w:tcPr>
          <w:p w:rsidR="00B63F31" w:rsidRDefault="00F8426A">
            <w:pPr>
              <w:jc w:val="center"/>
              <w:rPr>
                <w:rFonts w:ascii="Times New Roman" w:eastAsia="宋体" w:hAnsi="Times New Roman" w:cs="Times New Roman"/>
                <w:sz w:val="24"/>
              </w:rPr>
            </w:pPr>
            <w:r>
              <w:rPr>
                <w:rFonts w:ascii="Times New Roman" w:eastAsia="宋体" w:hAnsi="Times New Roman" w:cs="Times New Roman" w:hint="eastAsia"/>
                <w:sz w:val="24"/>
              </w:rPr>
              <w:t>10</w:t>
            </w:r>
          </w:p>
        </w:tc>
        <w:tc>
          <w:tcPr>
            <w:tcW w:w="1000" w:type="dxa"/>
            <w:vAlign w:val="center"/>
          </w:tcPr>
          <w:p w:rsidR="00B63F31" w:rsidRDefault="00B63F31">
            <w:pPr>
              <w:jc w:val="center"/>
              <w:rPr>
                <w:rFonts w:ascii="Times New Roman" w:eastAsia="宋体" w:hAnsi="Times New Roman" w:cs="Times New Roman"/>
                <w:sz w:val="24"/>
              </w:rPr>
            </w:pPr>
          </w:p>
        </w:tc>
      </w:tr>
    </w:tbl>
    <w:p w:rsidR="00B63F31" w:rsidRDefault="00F8426A">
      <w:pPr>
        <w:spacing w:line="360" w:lineRule="auto"/>
        <w:ind w:firstLineChars="200" w:firstLine="480"/>
        <w:rPr>
          <w:color w:val="000000"/>
          <w:sz w:val="24"/>
        </w:rPr>
      </w:pPr>
      <w:r>
        <w:rPr>
          <w:rFonts w:hint="eastAsia"/>
          <w:color w:val="000000"/>
          <w:sz w:val="24"/>
        </w:rPr>
        <w:t>上表中的材料投标方按照指定型号及品牌采购，经招标方验收合格后并交由招标方保存。施工中需要其它防腐、焊接、紧固件等耗材由投标方自行解决。</w:t>
      </w:r>
    </w:p>
    <w:p w:rsidR="00B63F31" w:rsidRDefault="00F8426A">
      <w:pPr>
        <w:spacing w:line="360" w:lineRule="auto"/>
        <w:rPr>
          <w:b/>
          <w:bCs/>
          <w:kern w:val="44"/>
          <w:sz w:val="28"/>
          <w:szCs w:val="44"/>
        </w:rPr>
      </w:pPr>
      <w:r>
        <w:rPr>
          <w:rFonts w:hint="eastAsia"/>
          <w:b/>
          <w:bCs/>
          <w:kern w:val="44"/>
          <w:sz w:val="28"/>
          <w:szCs w:val="44"/>
        </w:rPr>
        <w:t>4</w:t>
      </w:r>
      <w:r>
        <w:rPr>
          <w:rFonts w:hint="eastAsia"/>
          <w:b/>
          <w:bCs/>
          <w:kern w:val="44"/>
          <w:sz w:val="28"/>
          <w:szCs w:val="44"/>
        </w:rPr>
        <w:t>、双方职责</w:t>
      </w:r>
      <w:r>
        <w:rPr>
          <w:rFonts w:hint="eastAsia"/>
          <w:b/>
          <w:bCs/>
          <w:kern w:val="44"/>
          <w:sz w:val="28"/>
          <w:szCs w:val="44"/>
        </w:rPr>
        <w:t xml:space="preserve"> </w:t>
      </w:r>
    </w:p>
    <w:p w:rsidR="00B63F31" w:rsidRDefault="00F8426A">
      <w:pPr>
        <w:spacing w:line="360" w:lineRule="auto"/>
        <w:ind w:firstLineChars="200" w:firstLine="480"/>
        <w:rPr>
          <w:color w:val="000000"/>
          <w:sz w:val="24"/>
        </w:rPr>
      </w:pPr>
      <w:r>
        <w:rPr>
          <w:rFonts w:hint="eastAsia"/>
          <w:color w:val="000000"/>
          <w:sz w:val="24"/>
        </w:rPr>
        <w:t>1</w:t>
      </w:r>
      <w:r>
        <w:rPr>
          <w:rFonts w:hint="eastAsia"/>
          <w:color w:val="000000"/>
          <w:sz w:val="24"/>
        </w:rPr>
        <w:t>、招标方职责：</w:t>
      </w:r>
    </w:p>
    <w:p w:rsidR="00B63F31" w:rsidRDefault="00F8426A">
      <w:pPr>
        <w:spacing w:line="360" w:lineRule="auto"/>
        <w:ind w:firstLineChars="200" w:firstLine="480"/>
        <w:rPr>
          <w:color w:val="000000"/>
          <w:sz w:val="24"/>
        </w:rPr>
      </w:pPr>
      <w:r>
        <w:rPr>
          <w:rFonts w:hint="eastAsia"/>
          <w:color w:val="000000"/>
          <w:sz w:val="24"/>
        </w:rPr>
        <w:t>招标方应向投标方提供本单位安装设备的具体位置，和安装设备相关的技术图纸、参数，并做好相应的安全工作，同时安排人员对投标方现场工作的安全进行监督。</w:t>
      </w:r>
    </w:p>
    <w:p w:rsidR="006631F8" w:rsidRDefault="006631F8">
      <w:pPr>
        <w:spacing w:line="360" w:lineRule="auto"/>
        <w:ind w:firstLineChars="200" w:firstLine="480"/>
        <w:rPr>
          <w:color w:val="000000"/>
          <w:sz w:val="24"/>
        </w:rPr>
      </w:pPr>
      <w:r w:rsidRPr="0020478C">
        <w:rPr>
          <w:rFonts w:hint="eastAsia"/>
          <w:color w:val="000000"/>
          <w:sz w:val="24"/>
        </w:rPr>
        <w:t>投标人自行前往现场探勘，如需踏勘，请联系</w:t>
      </w:r>
      <w:r w:rsidR="0020478C">
        <w:rPr>
          <w:rFonts w:hint="eastAsia"/>
          <w:color w:val="000000"/>
          <w:sz w:val="24"/>
        </w:rPr>
        <w:t xml:space="preserve"> </w:t>
      </w:r>
      <w:bookmarkStart w:id="7" w:name="_GoBack"/>
      <w:bookmarkEnd w:id="7"/>
      <w:r w:rsidR="0020478C">
        <w:rPr>
          <w:rFonts w:hint="eastAsia"/>
          <w:color w:val="000000"/>
          <w:sz w:val="24"/>
        </w:rPr>
        <w:t>孙中科</w:t>
      </w:r>
      <w:r w:rsidR="0020478C" w:rsidRPr="0020478C">
        <w:rPr>
          <w:color w:val="000000"/>
          <w:sz w:val="24"/>
        </w:rPr>
        <w:t>18115961236</w:t>
      </w:r>
    </w:p>
    <w:p w:rsidR="00B63F31" w:rsidRDefault="00F8426A">
      <w:pPr>
        <w:spacing w:line="360" w:lineRule="auto"/>
        <w:ind w:firstLineChars="200" w:firstLine="480"/>
        <w:rPr>
          <w:color w:val="000000"/>
          <w:sz w:val="24"/>
        </w:rPr>
      </w:pPr>
      <w:r>
        <w:rPr>
          <w:rFonts w:hint="eastAsia"/>
          <w:color w:val="000000"/>
          <w:sz w:val="24"/>
        </w:rPr>
        <w:t>2</w:t>
      </w:r>
      <w:r>
        <w:rPr>
          <w:rFonts w:hint="eastAsia"/>
          <w:color w:val="000000"/>
          <w:sz w:val="24"/>
        </w:rPr>
        <w:t>、投标方职责：</w:t>
      </w:r>
    </w:p>
    <w:p w:rsidR="00B63F31" w:rsidRDefault="00F8426A">
      <w:pPr>
        <w:spacing w:line="360" w:lineRule="auto"/>
        <w:ind w:firstLineChars="200" w:firstLine="480"/>
        <w:rPr>
          <w:color w:val="000000"/>
          <w:sz w:val="24"/>
        </w:rPr>
      </w:pPr>
      <w:r>
        <w:rPr>
          <w:rFonts w:hint="eastAsia"/>
          <w:color w:val="000000"/>
          <w:sz w:val="24"/>
        </w:rPr>
        <w:t>投标方施工人员应持证上岗，相应的证件必须在有效期之内。施工相关的安全用具、电动工具应在质检合格期内。施工时应严格参照相关技术规范标准进行，并遵守招标方生产现场的安全、环境管理要求。</w:t>
      </w:r>
    </w:p>
    <w:p w:rsidR="00B63F31" w:rsidRDefault="00F8426A">
      <w:pPr>
        <w:pStyle w:val="a4"/>
        <w:numPr>
          <w:ilvl w:val="0"/>
          <w:numId w:val="1"/>
        </w:numPr>
        <w:spacing w:line="360" w:lineRule="auto"/>
        <w:ind w:firstLineChars="0"/>
        <w:rPr>
          <w:b/>
          <w:bCs/>
          <w:kern w:val="44"/>
          <w:sz w:val="28"/>
          <w:szCs w:val="44"/>
        </w:rPr>
      </w:pPr>
      <w:r>
        <w:rPr>
          <w:b/>
          <w:bCs/>
          <w:kern w:val="44"/>
          <w:sz w:val="28"/>
          <w:szCs w:val="44"/>
        </w:rPr>
        <w:t xml:space="preserve"> </w:t>
      </w:r>
      <w:r>
        <w:rPr>
          <w:rFonts w:hint="eastAsia"/>
          <w:b/>
          <w:bCs/>
          <w:kern w:val="44"/>
          <w:sz w:val="28"/>
          <w:szCs w:val="44"/>
        </w:rPr>
        <w:t>现场作业安全技术要求：</w:t>
      </w:r>
    </w:p>
    <w:p w:rsidR="00B63F31" w:rsidRDefault="00F8426A">
      <w:pPr>
        <w:pStyle w:val="a4"/>
        <w:spacing w:line="360" w:lineRule="auto"/>
        <w:ind w:left="240" w:firstLine="480"/>
        <w:rPr>
          <w:rFonts w:hAnsiTheme="minorEastAsia"/>
          <w:sz w:val="24"/>
        </w:rPr>
      </w:pPr>
      <w:r>
        <w:rPr>
          <w:rFonts w:hAnsiTheme="minorEastAsia" w:hint="eastAsia"/>
          <w:sz w:val="24"/>
        </w:rPr>
        <w:t>进入现场作业必须佩戴安全帽，穿绝缘鞋，遵守招标方现场安全生产管理条例和劳动纪律。为保证现场施工安全有序进行，现对投标方作如下安全技术</w:t>
      </w:r>
      <w:r>
        <w:rPr>
          <w:rFonts w:hAnsiTheme="minorEastAsia" w:hint="eastAsia"/>
          <w:sz w:val="24"/>
        </w:rPr>
        <w:lastRenderedPageBreak/>
        <w:t>要求：</w:t>
      </w:r>
    </w:p>
    <w:p w:rsidR="00B63F31" w:rsidRDefault="00F8426A">
      <w:pPr>
        <w:pStyle w:val="a4"/>
        <w:numPr>
          <w:ilvl w:val="0"/>
          <w:numId w:val="2"/>
        </w:numPr>
        <w:spacing w:line="360" w:lineRule="auto"/>
        <w:ind w:firstLineChars="0"/>
        <w:rPr>
          <w:rFonts w:hAnsiTheme="minorEastAsia"/>
          <w:sz w:val="24"/>
        </w:rPr>
      </w:pPr>
      <w:r>
        <w:rPr>
          <w:rFonts w:hAnsiTheme="minorEastAsia" w:hint="eastAsia"/>
          <w:sz w:val="24"/>
        </w:rPr>
        <w:t>模拟绝缘子安装至少有五人进行，两人登塔执行高空作业，一人地面操作组装，一人地面指挥，一人专责安全监护。</w:t>
      </w:r>
    </w:p>
    <w:p w:rsidR="00B63F31" w:rsidRDefault="00F8426A">
      <w:pPr>
        <w:pStyle w:val="a4"/>
        <w:numPr>
          <w:ilvl w:val="0"/>
          <w:numId w:val="2"/>
        </w:numPr>
        <w:spacing w:line="360" w:lineRule="auto"/>
        <w:ind w:firstLineChars="0"/>
        <w:rPr>
          <w:rFonts w:hAnsiTheme="minorEastAsia"/>
          <w:sz w:val="24"/>
        </w:rPr>
      </w:pPr>
      <w:r>
        <w:rPr>
          <w:rFonts w:hAnsiTheme="minorEastAsia" w:hint="eastAsia"/>
          <w:sz w:val="24"/>
        </w:rPr>
        <w:t>以呼高</w:t>
      </w:r>
      <w:r>
        <w:rPr>
          <w:rFonts w:hAnsiTheme="minorEastAsia" w:hint="eastAsia"/>
          <w:sz w:val="24"/>
        </w:rPr>
        <w:t>1.05</w:t>
      </w:r>
      <w:r>
        <w:rPr>
          <w:rFonts w:hAnsiTheme="minorEastAsia" w:hint="eastAsia"/>
          <w:sz w:val="24"/>
        </w:rPr>
        <w:t>倍范围设立安全警戒线，并悬挂标识牌。</w:t>
      </w:r>
    </w:p>
    <w:p w:rsidR="00B63F31" w:rsidRDefault="00F8426A">
      <w:pPr>
        <w:pStyle w:val="a4"/>
        <w:numPr>
          <w:ilvl w:val="0"/>
          <w:numId w:val="2"/>
        </w:numPr>
        <w:spacing w:line="360" w:lineRule="auto"/>
        <w:ind w:firstLineChars="0"/>
        <w:rPr>
          <w:rFonts w:hAnsiTheme="minorEastAsia"/>
          <w:sz w:val="24"/>
        </w:rPr>
      </w:pPr>
      <w:r>
        <w:rPr>
          <w:rFonts w:hAnsiTheme="minorEastAsia" w:hint="eastAsia"/>
          <w:sz w:val="24"/>
        </w:rPr>
        <w:t>施工前必须进行安全风险告知和施工安全交底，作业人员清楚工作容和程序，明确分工，并经现场安全负责人检查，确认安全后才能允许上塔施工。</w:t>
      </w:r>
    </w:p>
    <w:p w:rsidR="00B63F31" w:rsidRDefault="00F8426A">
      <w:pPr>
        <w:pStyle w:val="a4"/>
        <w:numPr>
          <w:ilvl w:val="0"/>
          <w:numId w:val="2"/>
        </w:numPr>
        <w:spacing w:line="360" w:lineRule="auto"/>
        <w:ind w:firstLineChars="0"/>
        <w:rPr>
          <w:rFonts w:hAnsiTheme="minorEastAsia"/>
          <w:sz w:val="24"/>
        </w:rPr>
      </w:pPr>
      <w:r>
        <w:rPr>
          <w:rFonts w:hAnsiTheme="minorEastAsia" w:hint="eastAsia"/>
          <w:sz w:val="24"/>
        </w:rPr>
        <w:t>登塔作业前，施工人员对工具、器材进行检查，不合格的禁止使用。</w:t>
      </w:r>
    </w:p>
    <w:p w:rsidR="00B63F31" w:rsidRDefault="00F8426A">
      <w:pPr>
        <w:pStyle w:val="a4"/>
        <w:numPr>
          <w:ilvl w:val="0"/>
          <w:numId w:val="2"/>
        </w:numPr>
        <w:spacing w:line="360" w:lineRule="auto"/>
        <w:ind w:firstLineChars="0"/>
        <w:rPr>
          <w:rFonts w:hAnsiTheme="minorEastAsia"/>
          <w:sz w:val="24"/>
        </w:rPr>
      </w:pPr>
      <w:r>
        <w:rPr>
          <w:rFonts w:hAnsiTheme="minorEastAsia" w:hint="eastAsia"/>
          <w:sz w:val="24"/>
        </w:rPr>
        <w:t>上下铁塔时人与人之间距离应不小于</w:t>
      </w:r>
      <w:r>
        <w:rPr>
          <w:rFonts w:hAnsiTheme="minorEastAsia" w:hint="eastAsia"/>
          <w:sz w:val="24"/>
        </w:rPr>
        <w:t>3</w:t>
      </w:r>
      <w:r>
        <w:rPr>
          <w:rFonts w:hAnsiTheme="minorEastAsia" w:hint="eastAsia"/>
          <w:sz w:val="24"/>
        </w:rPr>
        <w:t>米，攀爬速度宜慢速行进。</w:t>
      </w:r>
    </w:p>
    <w:p w:rsidR="00B63F31" w:rsidRDefault="00F8426A">
      <w:pPr>
        <w:pStyle w:val="a4"/>
        <w:numPr>
          <w:ilvl w:val="0"/>
          <w:numId w:val="2"/>
        </w:numPr>
        <w:spacing w:line="360" w:lineRule="auto"/>
        <w:ind w:firstLineChars="0"/>
        <w:rPr>
          <w:rFonts w:hAnsiTheme="minorEastAsia"/>
          <w:sz w:val="24"/>
        </w:rPr>
      </w:pPr>
      <w:r>
        <w:rPr>
          <w:rFonts w:hAnsiTheme="minorEastAsia" w:hint="eastAsia"/>
          <w:sz w:val="24"/>
        </w:rPr>
        <w:t>工具、安装材料必须放在专用的工具袋，上下传递必须使用绳索，严禁抛扔。</w:t>
      </w:r>
    </w:p>
    <w:p w:rsidR="00B63F31" w:rsidRDefault="00F8426A">
      <w:pPr>
        <w:pStyle w:val="a4"/>
        <w:numPr>
          <w:ilvl w:val="0"/>
          <w:numId w:val="2"/>
        </w:numPr>
        <w:spacing w:line="360" w:lineRule="auto"/>
        <w:ind w:firstLineChars="0"/>
        <w:rPr>
          <w:rFonts w:hAnsiTheme="minorEastAsia"/>
          <w:sz w:val="24"/>
        </w:rPr>
      </w:pPr>
      <w:r>
        <w:rPr>
          <w:rFonts w:hAnsiTheme="minorEastAsia" w:hint="eastAsia"/>
          <w:sz w:val="24"/>
        </w:rPr>
        <w:t>登塔作业人员无论时间长短必须佩戴安全带，并且将安全带的挂钩牢固挂在铁塔构件上。</w:t>
      </w:r>
    </w:p>
    <w:p w:rsidR="00B63F31" w:rsidRDefault="00F8426A">
      <w:pPr>
        <w:pStyle w:val="a4"/>
        <w:numPr>
          <w:ilvl w:val="0"/>
          <w:numId w:val="2"/>
        </w:numPr>
        <w:spacing w:line="360" w:lineRule="auto"/>
        <w:ind w:firstLineChars="0"/>
        <w:rPr>
          <w:rFonts w:hAnsiTheme="minorEastAsia"/>
          <w:sz w:val="24"/>
        </w:rPr>
      </w:pPr>
      <w:r>
        <w:rPr>
          <w:rFonts w:hAnsiTheme="minorEastAsia" w:hint="eastAsia"/>
          <w:sz w:val="24"/>
        </w:rPr>
        <w:t>登塔作业时间每次不宜超过</w:t>
      </w:r>
      <w:r>
        <w:rPr>
          <w:rFonts w:hAnsiTheme="minorEastAsia" w:hint="eastAsia"/>
          <w:sz w:val="24"/>
        </w:rPr>
        <w:t>4</w:t>
      </w:r>
      <w:r>
        <w:rPr>
          <w:rFonts w:hAnsiTheme="minorEastAsia" w:hint="eastAsia"/>
          <w:sz w:val="24"/>
        </w:rPr>
        <w:t>小时；需连续工作的必须每隔</w:t>
      </w:r>
      <w:r>
        <w:rPr>
          <w:rFonts w:hAnsiTheme="minorEastAsia" w:hint="eastAsia"/>
          <w:sz w:val="24"/>
        </w:rPr>
        <w:t>2</w:t>
      </w:r>
      <w:r>
        <w:rPr>
          <w:rFonts w:hAnsiTheme="minorEastAsia" w:hint="eastAsia"/>
          <w:sz w:val="24"/>
        </w:rPr>
        <w:t>小时休息</w:t>
      </w:r>
      <w:r>
        <w:rPr>
          <w:rFonts w:hAnsiTheme="minorEastAsia" w:hint="eastAsia"/>
          <w:sz w:val="24"/>
        </w:rPr>
        <w:t>15</w:t>
      </w:r>
      <w:r>
        <w:rPr>
          <w:rFonts w:hAnsiTheme="minorEastAsia" w:hint="eastAsia"/>
          <w:sz w:val="24"/>
        </w:rPr>
        <w:t>分钟，但是一次作业时间累计不准超过</w:t>
      </w:r>
      <w:r>
        <w:rPr>
          <w:rFonts w:hAnsiTheme="minorEastAsia" w:hint="eastAsia"/>
          <w:sz w:val="24"/>
        </w:rPr>
        <w:t>8</w:t>
      </w:r>
      <w:r>
        <w:rPr>
          <w:rFonts w:hAnsiTheme="minorEastAsia" w:hint="eastAsia"/>
          <w:sz w:val="24"/>
        </w:rPr>
        <w:t>小时。</w:t>
      </w:r>
    </w:p>
    <w:p w:rsidR="00B63F31" w:rsidRDefault="00F8426A">
      <w:pPr>
        <w:pStyle w:val="a4"/>
        <w:numPr>
          <w:ilvl w:val="0"/>
          <w:numId w:val="2"/>
        </w:numPr>
        <w:spacing w:line="360" w:lineRule="auto"/>
        <w:ind w:firstLineChars="0"/>
        <w:rPr>
          <w:rFonts w:hAnsiTheme="minorEastAsia"/>
          <w:sz w:val="24"/>
        </w:rPr>
      </w:pPr>
      <w:r>
        <w:rPr>
          <w:rFonts w:hAnsiTheme="minorEastAsia" w:hint="eastAsia"/>
          <w:sz w:val="24"/>
        </w:rPr>
        <w:t>施工前必须将所有材料、工具在指定区域摆放整齐，每日工作结束后必须将工具、材料收好。工程结束后现场所有废料必须回收，施工场地清理干净。</w:t>
      </w:r>
    </w:p>
    <w:p w:rsidR="00B63F31" w:rsidRDefault="00F8426A">
      <w:pPr>
        <w:spacing w:line="360" w:lineRule="auto"/>
        <w:rPr>
          <w:rFonts w:ascii="宋体" w:hAnsi="宋体"/>
          <w:sz w:val="24"/>
        </w:rPr>
      </w:pPr>
      <w:r>
        <w:rPr>
          <w:b/>
          <w:bCs/>
          <w:kern w:val="44"/>
          <w:sz w:val="28"/>
          <w:szCs w:val="44"/>
        </w:rPr>
        <w:t>6</w:t>
      </w:r>
      <w:r>
        <w:rPr>
          <w:rFonts w:hint="eastAsia"/>
          <w:b/>
          <w:bCs/>
          <w:kern w:val="44"/>
          <w:sz w:val="28"/>
          <w:szCs w:val="44"/>
        </w:rPr>
        <w:t>、工期要求：</w:t>
      </w:r>
    </w:p>
    <w:p w:rsidR="00B63F31" w:rsidRDefault="00F8426A">
      <w:pPr>
        <w:spacing w:line="360" w:lineRule="auto"/>
        <w:ind w:firstLineChars="200" w:firstLine="480"/>
        <w:rPr>
          <w:rFonts w:ascii="宋体" w:hAnsi="宋体"/>
          <w:sz w:val="24"/>
        </w:rPr>
      </w:pPr>
      <w:r>
        <w:rPr>
          <w:rFonts w:ascii="宋体" w:hAnsi="宋体" w:hint="eastAsia"/>
          <w:sz w:val="24"/>
        </w:rPr>
        <w:t>接到甲方通知后1</w:t>
      </w:r>
      <w:r>
        <w:rPr>
          <w:rFonts w:ascii="宋体" w:hAnsi="宋体"/>
          <w:sz w:val="24"/>
        </w:rPr>
        <w:t>0</w:t>
      </w:r>
      <w:r>
        <w:rPr>
          <w:rFonts w:ascii="宋体" w:hAnsi="宋体" w:hint="eastAsia"/>
          <w:sz w:val="24"/>
        </w:rPr>
        <w:t>日内完工。</w:t>
      </w:r>
    </w:p>
    <w:p w:rsidR="00B63F31" w:rsidRDefault="00F8426A">
      <w:pPr>
        <w:spacing w:line="360" w:lineRule="auto"/>
        <w:rPr>
          <w:b/>
          <w:bCs/>
          <w:kern w:val="44"/>
          <w:sz w:val="28"/>
          <w:szCs w:val="44"/>
        </w:rPr>
      </w:pPr>
      <w:r>
        <w:rPr>
          <w:rFonts w:hint="eastAsia"/>
          <w:b/>
          <w:bCs/>
          <w:kern w:val="44"/>
          <w:sz w:val="28"/>
          <w:szCs w:val="44"/>
        </w:rPr>
        <w:t>7</w:t>
      </w:r>
      <w:r>
        <w:rPr>
          <w:rFonts w:hint="eastAsia"/>
          <w:b/>
          <w:bCs/>
          <w:kern w:val="44"/>
          <w:sz w:val="28"/>
          <w:szCs w:val="44"/>
        </w:rPr>
        <w:t>、验收标准：</w:t>
      </w:r>
    </w:p>
    <w:p w:rsidR="00B63F31" w:rsidRDefault="00F8426A">
      <w:pPr>
        <w:spacing w:line="360" w:lineRule="auto"/>
        <w:ind w:firstLineChars="200" w:firstLine="480"/>
        <w:rPr>
          <w:color w:val="000000"/>
          <w:sz w:val="24"/>
        </w:rPr>
      </w:pPr>
      <w:r>
        <w:rPr>
          <w:rFonts w:hint="eastAsia"/>
          <w:color w:val="000000"/>
          <w:sz w:val="24"/>
        </w:rPr>
        <w:t>参照国家标准《</w:t>
      </w:r>
      <w:r>
        <w:rPr>
          <w:rFonts w:hint="eastAsia"/>
          <w:color w:val="000000"/>
          <w:sz w:val="24"/>
        </w:rPr>
        <w:t>GB50233-2014</w:t>
      </w:r>
      <w:r>
        <w:rPr>
          <w:rFonts w:hint="eastAsia"/>
          <w:color w:val="000000"/>
          <w:sz w:val="24"/>
        </w:rPr>
        <w:t>架空输电线路施工及验收规范》统一进行验收评定。</w:t>
      </w:r>
    </w:p>
    <w:sectPr w:rsidR="00B63F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A64" w:rsidRDefault="00732A64" w:rsidP="006631F8">
      <w:r>
        <w:separator/>
      </w:r>
    </w:p>
  </w:endnote>
  <w:endnote w:type="continuationSeparator" w:id="0">
    <w:p w:rsidR="00732A64" w:rsidRDefault="00732A64" w:rsidP="00663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A64" w:rsidRDefault="00732A64" w:rsidP="006631F8">
      <w:r>
        <w:separator/>
      </w:r>
    </w:p>
  </w:footnote>
  <w:footnote w:type="continuationSeparator" w:id="0">
    <w:p w:rsidR="00732A64" w:rsidRDefault="00732A64" w:rsidP="006631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40374E"/>
    <w:multiLevelType w:val="multilevel"/>
    <w:tmpl w:val="6F40374E"/>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79533280"/>
    <w:multiLevelType w:val="multilevel"/>
    <w:tmpl w:val="79533280"/>
    <w:lvl w:ilvl="0">
      <w:start w:val="5"/>
      <w:numFmt w:val="decimal"/>
      <w:lvlText w:val="%1、"/>
      <w:lvlJc w:val="left"/>
      <w:pPr>
        <w:ind w:left="430" w:hanging="43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wYThiMGYxOTQ2Yzc0ZGNmOTY1YTA2NzQwODQxMzMifQ=="/>
  </w:docVars>
  <w:rsids>
    <w:rsidRoot w:val="00B63F31"/>
    <w:rsid w:val="0020478C"/>
    <w:rsid w:val="006631F8"/>
    <w:rsid w:val="00732A64"/>
    <w:rsid w:val="00B63F31"/>
    <w:rsid w:val="00CE34E1"/>
    <w:rsid w:val="00F8426A"/>
    <w:rsid w:val="090562A5"/>
    <w:rsid w:val="0F04238D"/>
    <w:rsid w:val="16515AC0"/>
    <w:rsid w:val="5EFE4AF2"/>
    <w:rsid w:val="61DC5768"/>
    <w:rsid w:val="623233C8"/>
    <w:rsid w:val="794B5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6ACF11"/>
  <w15:docId w15:val="{DEB2D9CC-F04F-421C-A162-1E43182B0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character" w:customStyle="1" w:styleId="first-child">
    <w:name w:val="first-child"/>
    <w:basedOn w:val="a0"/>
    <w:rPr>
      <w:bdr w:val="none" w:sz="0" w:space="0" w:color="auto"/>
    </w:rPr>
  </w:style>
  <w:style w:type="character" w:customStyle="1" w:styleId="layui-this">
    <w:name w:val="layui-this"/>
    <w:basedOn w:val="a0"/>
    <w:rPr>
      <w:bdr w:val="single" w:sz="6" w:space="0" w:color="EEEEEE"/>
      <w:shd w:val="clear" w:color="auto" w:fill="FFFFFF"/>
    </w:rPr>
  </w:style>
  <w:style w:type="paragraph" w:styleId="a5">
    <w:name w:val="header"/>
    <w:basedOn w:val="a"/>
    <w:link w:val="a6"/>
    <w:rsid w:val="006631F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6631F8"/>
    <w:rPr>
      <w:rFonts w:asciiTheme="minorHAnsi" w:eastAsiaTheme="minorEastAsia" w:hAnsiTheme="minorHAnsi" w:cstheme="minorBidi"/>
      <w:kern w:val="2"/>
      <w:sz w:val="18"/>
      <w:szCs w:val="18"/>
    </w:rPr>
  </w:style>
  <w:style w:type="paragraph" w:styleId="a7">
    <w:name w:val="footer"/>
    <w:basedOn w:val="a"/>
    <w:link w:val="a8"/>
    <w:rsid w:val="006631F8"/>
    <w:pPr>
      <w:tabs>
        <w:tab w:val="center" w:pos="4153"/>
        <w:tab w:val="right" w:pos="8306"/>
      </w:tabs>
      <w:snapToGrid w:val="0"/>
      <w:jc w:val="left"/>
    </w:pPr>
    <w:rPr>
      <w:sz w:val="18"/>
      <w:szCs w:val="18"/>
    </w:rPr>
  </w:style>
  <w:style w:type="character" w:customStyle="1" w:styleId="a8">
    <w:name w:val="页脚 字符"/>
    <w:basedOn w:val="a0"/>
    <w:link w:val="a7"/>
    <w:rsid w:val="006631F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孙苏钰</dc:creator>
  <cp:lastModifiedBy>LENOVO</cp:lastModifiedBy>
  <cp:revision>4</cp:revision>
  <dcterms:created xsi:type="dcterms:W3CDTF">2022-09-07T03:05:00Z</dcterms:created>
  <dcterms:modified xsi:type="dcterms:W3CDTF">2022-09-29T07:29:00Z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D597EEFCABCE4F888C5A0AED423656A4</vt:lpwstr>
  </property>
</Properties>
</file>